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2B" w:rsidRDefault="00E6212B">
      <w:pPr>
        <w:widowControl w:val="0"/>
        <w:pBdr>
          <w:top w:val="nil"/>
          <w:left w:val="nil"/>
          <w:bottom w:val="nil"/>
          <w:right w:val="nil"/>
          <w:between w:val="nil"/>
        </w:pBdr>
        <w:spacing w:before="120"/>
        <w:rPr>
          <w:color w:val="000000"/>
          <w:sz w:val="20"/>
          <w:szCs w:val="20"/>
        </w:rPr>
      </w:pP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 xml:space="preserve"> </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5418773</wp:posOffset>
                </wp:positionH>
                <wp:positionV relativeFrom="paragraph">
                  <wp:posOffset>-173036</wp:posOffset>
                </wp:positionV>
                <wp:extent cx="923925" cy="238125"/>
                <wp:effectExtent l="0" t="0" r="0" b="0"/>
                <wp:wrapNone/>
                <wp:docPr id="1774012124" name="Rectángulo 1774012124"/>
                <wp:cNvGraphicFramePr/>
                <a:graphic xmlns:a="http://schemas.openxmlformats.org/drawingml/2006/main">
                  <a:graphicData uri="http://schemas.microsoft.com/office/word/2010/wordprocessingShape">
                    <wps:wsp>
                      <wps:cNvSpPr/>
                      <wps:spPr>
                        <a:xfrm>
                          <a:off x="4888800" y="3665700"/>
                          <a:ext cx="914400" cy="228600"/>
                        </a:xfrm>
                        <a:prstGeom prst="rect">
                          <a:avLst/>
                        </a:prstGeom>
                        <a:noFill/>
                        <a:ln>
                          <a:noFill/>
                        </a:ln>
                      </wps:spPr>
                      <wps:txbx>
                        <w:txbxContent>
                          <w:p w:rsidR="00CC4478" w:rsidRDefault="00CC4478">
                            <w:pPr>
                              <w:jc w:val="right"/>
                              <w:textDirection w:val="btLr"/>
                            </w:pPr>
                            <w:r>
                              <w:rPr>
                                <w:rFonts w:ascii="Arial" w:eastAsia="Arial" w:hAnsi="Arial" w:cs="Arial"/>
                                <w:color w:val="000000"/>
                                <w:sz w:val="14"/>
                              </w:rPr>
                              <w:t>ESPAÑOL (ES)</w:t>
                            </w:r>
                          </w:p>
                        </w:txbxContent>
                      </wps:txbx>
                      <wps:bodyPr spcFirstLastPara="1" wrap="square" lIns="91425" tIns="45700" rIns="91425" bIns="45700" anchor="t" anchorCtr="0">
                        <a:noAutofit/>
                      </wps:bodyPr>
                    </wps:wsp>
                  </a:graphicData>
                </a:graphic>
              </wp:anchor>
            </w:drawing>
          </mc:Choice>
          <mc:Fallback>
            <w:pict>
              <v:rect id="Rectángulo 1774012124" o:spid="_x0000_s1026" style="position:absolute;margin-left:426.7pt;margin-top:-13.6pt;width:72.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" filled="f" stroked="f">
                <v:textbox inset="2.53958mm,1.2694mm,2.53958mm,1.2694mm">
                  <w:txbxContent>
                    <w:p w:rsidR="00CC4478" w:rsidRDefault="00CC4478">
                      <w:pPr>
                        <w:jc w:val="right"/>
                        <w:textDirection w:val="btLr"/>
                      </w:pPr>
                      <w:r>
                        <w:rPr>
                          <w:rFonts w:ascii="Arial" w:eastAsia="Arial" w:hAnsi="Arial" w:cs="Arial"/>
                          <w:color w:val="000000"/>
                          <w:sz w:val="14"/>
                        </w:rPr>
                        <w:t>ESPAÑOL (ES)</w:t>
                      </w:r>
                    </w:p>
                  </w:txbxContent>
                </v:textbox>
              </v:rect>
            </w:pict>
          </mc:Fallback>
        </mc:AlternateContent>
      </w:r>
      <w:r>
        <w:rPr>
          <w:noProof/>
          <w:lang w:val="en-US"/>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1905</wp:posOffset>
            </wp:positionV>
            <wp:extent cx="1581785" cy="594360"/>
            <wp:effectExtent l="0" t="0" r="0" b="0"/>
            <wp:wrapNone/>
            <wp:docPr id="1774012125" name="image1.png" descr="Un logotipo azul y naranj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Un logotipo azul y naranja&#10;&#10;descripción generada automáticamente"/>
                    <pic:cNvPicPr preferRelativeResize="0"/>
                  </pic:nvPicPr>
                  <pic:blipFill>
                    <a:blip r:embed="rId7"/>
                    <a:srcRect/>
                    <a:stretch>
                      <a:fillRect/>
                    </a:stretch>
                  </pic:blipFill>
                  <pic:spPr>
                    <a:xfrm>
                      <a:off x="0" y="0"/>
                      <a:ext cx="1581785" cy="594360"/>
                    </a:xfrm>
                    <a:prstGeom prst="rect">
                      <a:avLst/>
                    </a:prstGeom>
                    <a:ln/>
                  </pic:spPr>
                </pic:pic>
              </a:graphicData>
            </a:graphic>
          </wp:anchor>
        </w:drawing>
      </w:r>
    </w:p>
    <w:p w:rsidR="00E6212B" w:rsidRDefault="00E6212B">
      <w:pPr>
        <w:pStyle w:val="Ttulo1"/>
      </w:pPr>
    </w:p>
    <w:p w:rsidR="00E6212B" w:rsidRDefault="00065991">
      <w:pPr>
        <w:pStyle w:val="Ttulo1"/>
      </w:pPr>
      <w:r>
        <w:t>RESULTADOS DE LA EVALUACIÓN DE LAS NECESIDADES DE LA COMUNIDAD PARA UNA SUBVENCIÓN GLOBAL</w:t>
      </w:r>
    </w:p>
    <w:p w:rsidR="00E6212B" w:rsidRDefault="00065991">
      <w:pPr>
        <w:pStyle w:val="Ttulo4"/>
      </w:pPr>
      <w:r>
        <w:t>Utiliza este formulario para informar a La Fundación Rotaria sobre los resultados de la evaluación de las necesidades de la comunidad al momento de solicitar una subvención global.</w:t>
      </w:r>
    </w:p>
    <w:p w:rsidR="00E6212B" w:rsidRDefault="00065991" w:rsidP="00380DBC">
      <w:pPr>
        <w:widowControl w:val="0"/>
        <w:pBdr>
          <w:top w:val="nil"/>
          <w:left w:val="nil"/>
          <w:bottom w:val="nil"/>
          <w:right w:val="nil"/>
          <w:between w:val="nil"/>
        </w:pBdr>
        <w:spacing w:before="120"/>
        <w:jc w:val="both"/>
        <w:rPr>
          <w:color w:val="000000"/>
          <w:sz w:val="20"/>
          <w:szCs w:val="20"/>
        </w:rPr>
      </w:pPr>
      <w:r>
        <w:rPr>
          <w:color w:val="000000"/>
          <w:sz w:val="20"/>
          <w:szCs w:val="20"/>
        </w:rPr>
        <w:br/>
        <w:t xml:space="preserve">Evaluar las fortalezas, las debilidades, las necesidades y los activos de la comunidad a la que planeas ayudar es un primer paso fundamental para diseñar un proyecto financiado por una subvención global eficaz y sostenible. Consulta la publicación </w:t>
      </w:r>
      <w:hyperlink r:id="rId8">
        <w:r>
          <w:rPr>
            <w:color w:val="0563C1"/>
            <w:sz w:val="20"/>
            <w:szCs w:val="20"/>
            <w:u w:val="single"/>
          </w:rPr>
          <w:t>Cómo llevar a cabo evaluaciones de las necesidades de la comunidad</w:t>
        </w:r>
      </w:hyperlink>
      <w:r>
        <w:rPr>
          <w:color w:val="000000"/>
          <w:sz w:val="20"/>
          <w:szCs w:val="20"/>
        </w:rPr>
        <w:t xml:space="preserve"> para obtener instrucciones completas y consejos útiles.</w:t>
      </w:r>
    </w:p>
    <w:p w:rsidR="00E6212B" w:rsidRDefault="00065991" w:rsidP="00380DBC">
      <w:pPr>
        <w:widowControl w:val="0"/>
        <w:pBdr>
          <w:top w:val="nil"/>
          <w:left w:val="nil"/>
          <w:bottom w:val="nil"/>
          <w:right w:val="nil"/>
          <w:between w:val="nil"/>
        </w:pBdr>
        <w:spacing w:before="120"/>
        <w:jc w:val="both"/>
        <w:rPr>
          <w:color w:val="000000"/>
          <w:sz w:val="20"/>
          <w:szCs w:val="20"/>
        </w:rPr>
      </w:pPr>
      <w:r>
        <w:rPr>
          <w:color w:val="000000"/>
          <w:sz w:val="20"/>
          <w:szCs w:val="20"/>
        </w:rPr>
        <w:t xml:space="preserve">Este formulario te ayudará a informar sobre los resultados de la evaluación de las necesidades de la comunidad, lo cual es un requisito para las solicitudes de subvenciones para proyectos humanitarios o equipos de capacitación profesional Completa un formulario separado para cada comunidad beneficiaria (por ejemplo: escuela, sistema de salud o población), empleando información actual y específica para cada una de ellas. Recuerda que no podrás utilizar fondos de una subvención global para cubrir el costo de esta evaluación, pero podrás emplear fondos de una subvención distrital.  </w:t>
      </w:r>
    </w:p>
    <w:p w:rsidR="00E6212B" w:rsidRDefault="00065991">
      <w:pPr>
        <w:pStyle w:val="Ttulo3"/>
      </w:pPr>
      <w:r>
        <w:t>PANORAMA GENERAL DE LA COMUNIDAD</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Describe las características (como información geográfica, principales fuentes de ingresos, tamaño de la población y acceso a los servicios de educación/salud) de la comunidad específica donde se llevará a cabo este proyecto.</w:t>
      </w:r>
    </w:p>
    <w:p w:rsidR="002F47CA" w:rsidRDefault="002606F4" w:rsidP="002606F4">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bookmarkStart w:id="0" w:name="_heading=h.e3fycqgbot6z" w:colFirst="0" w:colLast="0"/>
      <w:bookmarkEnd w:id="0"/>
      <w:r>
        <w:rPr>
          <w:sz w:val="20"/>
          <w:szCs w:val="20"/>
        </w:rPr>
        <w:t xml:space="preserve">Antioquia es un departamento que alberga comunidades de diferentes estratos económicos, en donde se encuentran personas que han sido desplazadas por condiciones de seguridad personal o en búsqueda de opciones de trabajo porque en sus comunidades no hay oportunidades de trabajo.  Así entonces se encuentra un grupo importante de personas que requieren empleo que les garantice disponer de conocimientos para ejecutar labores de trabajo formal. </w:t>
      </w:r>
    </w:p>
    <w:p w:rsidR="00E6212B" w:rsidRDefault="002606F4" w:rsidP="00065991">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Se identifican grupos de h</w:t>
      </w:r>
      <w:r w:rsidR="00065991">
        <w:rPr>
          <w:sz w:val="20"/>
          <w:szCs w:val="20"/>
        </w:rPr>
        <w:t>ombres y mujeres entre 15 y 65 años de edad, de niveles</w:t>
      </w:r>
      <w:r w:rsidR="002F47CA">
        <w:rPr>
          <w:sz w:val="20"/>
          <w:szCs w:val="20"/>
        </w:rPr>
        <w:t xml:space="preserve"> socioeconómicos 1, 2 y 3 (</w:t>
      </w:r>
      <w:r w:rsidR="002F47CA" w:rsidRPr="002F47CA">
        <w:rPr>
          <w:i/>
          <w:sz w:val="20"/>
          <w:szCs w:val="20"/>
        </w:rPr>
        <w:t>es importante considerar que l</w:t>
      </w:r>
      <w:r w:rsidR="00065991" w:rsidRPr="002F47CA">
        <w:rPr>
          <w:i/>
          <w:sz w:val="20"/>
          <w:szCs w:val="20"/>
        </w:rPr>
        <w:t>a escala va en ascenso de 1 a 6, siendo 1 el n</w:t>
      </w:r>
      <w:r w:rsidR="002F47CA" w:rsidRPr="002F47CA">
        <w:rPr>
          <w:i/>
          <w:sz w:val="20"/>
          <w:szCs w:val="20"/>
        </w:rPr>
        <w:t>ivel socioeconómico inferior</w:t>
      </w:r>
      <w:r w:rsidR="002F47CA">
        <w:rPr>
          <w:sz w:val="20"/>
          <w:szCs w:val="20"/>
        </w:rPr>
        <w:t xml:space="preserve">) </w:t>
      </w:r>
      <w:r w:rsidR="00065991">
        <w:rPr>
          <w:sz w:val="20"/>
          <w:szCs w:val="20"/>
        </w:rPr>
        <w:t>del departamento de Antioquia (Colombia). Esta población corresponde aproximadamente al 70% del total de la población del Departamento.</w:t>
      </w:r>
    </w:p>
    <w:p w:rsidR="00E6212B" w:rsidRDefault="00065991" w:rsidP="00065991">
      <w:pPr>
        <w:widowControl w:val="0"/>
        <w:pBdr>
          <w:top w:val="single" w:sz="4" w:space="1" w:color="000000"/>
          <w:left w:val="single" w:sz="4" w:space="4" w:color="000000"/>
          <w:bottom w:val="single" w:sz="4" w:space="1" w:color="000000"/>
          <w:right w:val="single" w:sz="4" w:space="4" w:color="000000"/>
          <w:between w:val="nil"/>
        </w:pBdr>
        <w:spacing w:before="120"/>
        <w:jc w:val="both"/>
        <w:rPr>
          <w:color w:val="000000"/>
          <w:sz w:val="20"/>
          <w:szCs w:val="20"/>
        </w:rPr>
      </w:pPr>
      <w:bookmarkStart w:id="1" w:name="_heading=h.ee2nrhv2tb0t" w:colFirst="0" w:colLast="0"/>
      <w:bookmarkEnd w:id="1"/>
      <w:r>
        <w:rPr>
          <w:sz w:val="20"/>
          <w:szCs w:val="20"/>
        </w:rPr>
        <w:t xml:space="preserve">Tienen acceso a servicios públicos y de educación y salud, gracias al sistema de seguridad social en salud y a la oferta pública de formación básica y secundaria. En ocasiones no pueden continuar estudiando por tener que trabajar para poder cubrir sus necesidades y las de sus familias. </w:t>
      </w:r>
    </w:p>
    <w:p w:rsidR="00E6212B" w:rsidRDefault="00065991">
      <w:pPr>
        <w:pStyle w:val="Ttulo3"/>
      </w:pPr>
      <w:r>
        <w:t>RECOPILACIÓN DE DATOS DE LA EVALUACIÓN DE LAS NECESIDADES DE LA COMUNIDAD</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Cuando realizaste la evaluación, ¿con quién hablaste en la comunidad? Al menos dos representantes de la comunidad y beneficiarios diferentes que no estén involucrados en Rotary (como maestros, médicos o líderes comunitarios) deben incluirse en las discusiones.</w:t>
      </w:r>
    </w:p>
    <w:p w:rsidR="00065991" w:rsidRDefault="00065991">
      <w:pPr>
        <w:widowControl w:val="0"/>
        <w:pBdr>
          <w:top w:val="single" w:sz="4" w:space="1" w:color="000000"/>
          <w:left w:val="single" w:sz="4" w:space="4" w:color="000000"/>
          <w:bottom w:val="single" w:sz="4" w:space="1" w:color="000000"/>
          <w:right w:val="single" w:sz="4" w:space="4" w:color="000000"/>
          <w:between w:val="nil"/>
        </w:pBdr>
        <w:spacing w:before="120"/>
        <w:rPr>
          <w:sz w:val="20"/>
          <w:szCs w:val="20"/>
        </w:rPr>
      </w:pPr>
      <w:r>
        <w:rPr>
          <w:sz w:val="20"/>
          <w:szCs w:val="20"/>
        </w:rPr>
        <w:t xml:space="preserve">La Asociación de Exalumnas de La Enseñanza es una entidad sin ánimo de lucro, que lleva trabajando 40 años en la formación de personas que se desempeñan como cuidadores de la primera infancia y del adulto mayor.  </w:t>
      </w:r>
    </w:p>
    <w:p w:rsidR="00065991" w:rsidRDefault="00065991" w:rsidP="00380DBC">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lastRenderedPageBreak/>
        <w:t>En la reunión con las directivas de la Asociación, identificamos la gestión que han adelantado durante su funcionamiento, trabajando con las redes de apoyo en los diferentes sectores del departamento, tales como las juntas de acción comunal y su “componente de mesas de cuidado”, los líderes religiosos y los rectores de las instituciones educativas, entre otros.</w:t>
      </w:r>
    </w:p>
    <w:p w:rsidR="00E6212B" w:rsidRDefault="00380DBC" w:rsidP="00380DBC">
      <w:pPr>
        <w:widowControl w:val="0"/>
        <w:pBdr>
          <w:top w:val="single" w:sz="4" w:space="1" w:color="000000"/>
          <w:left w:val="single" w:sz="4" w:space="4" w:color="000000"/>
          <w:bottom w:val="single" w:sz="4" w:space="1" w:color="000000"/>
          <w:right w:val="single" w:sz="4" w:space="4" w:color="000000"/>
          <w:between w:val="nil"/>
        </w:pBdr>
        <w:spacing w:before="120"/>
        <w:jc w:val="both"/>
        <w:rPr>
          <w:color w:val="000000"/>
          <w:sz w:val="20"/>
          <w:szCs w:val="20"/>
        </w:rPr>
      </w:pPr>
      <w:r>
        <w:rPr>
          <w:sz w:val="20"/>
          <w:szCs w:val="20"/>
        </w:rPr>
        <w:t>En las reuniones periódicas que se realizan con estos estamentos, se identifican las necesidades básicas de la comunidad, siendo más preponderante el empleo que les permita mejorar calidad de vida para la familia.</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¿En qué momento del año pasado se celebraron las conversaciones?</w:t>
      </w:r>
    </w:p>
    <w:p w:rsidR="002F47CA" w:rsidRDefault="00380DBC">
      <w:pPr>
        <w:widowControl w:val="0"/>
        <w:pBdr>
          <w:top w:val="single" w:sz="4" w:space="1" w:color="000000"/>
          <w:left w:val="single" w:sz="4" w:space="4" w:color="000000"/>
          <w:bottom w:val="single" w:sz="4" w:space="1" w:color="000000"/>
          <w:right w:val="single" w:sz="4" w:space="4" w:color="000000"/>
          <w:between w:val="nil"/>
        </w:pBdr>
        <w:spacing w:before="120"/>
        <w:rPr>
          <w:sz w:val="20"/>
          <w:szCs w:val="20"/>
        </w:rPr>
      </w:pPr>
      <w:r>
        <w:rPr>
          <w:sz w:val="20"/>
          <w:szCs w:val="20"/>
        </w:rPr>
        <w:t>La gestión de la Asociación de Exalumnas es importante para el desarrollo de las comunidades más vulnerables, y ha permitido ser visibles como actor importante en la gestión social.   Desde el año pasado hemos analizado el impacto que tiene la formación en cada participante, permitiéndoles ser parte del mercado laboral formal.</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¿Qué métodos utilizaste para recopilar información de los miembros de la comunidad (como reuniones comunitarias, entrevistas o grupos de opinión)?</w:t>
      </w:r>
    </w:p>
    <w:p w:rsidR="004D6ED5" w:rsidRDefault="004D6ED5" w:rsidP="004D6ED5">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En la reunión con las directivas de la Asociación, identificamos la gestión que han adelantado durante su funcionamiento, trabajando con las redes de apoyo en los diferentes sectores del departamento, tales como las juntas de acción comunal y su “componente de mesas de cuidado”, los líderes religiosos y los rectores de las instituciones educativas, entre otros.</w:t>
      </w:r>
    </w:p>
    <w:p w:rsidR="00E6212B" w:rsidRDefault="00380DBC">
      <w:pPr>
        <w:widowControl w:val="0"/>
        <w:pBdr>
          <w:top w:val="single" w:sz="4" w:space="1" w:color="000000"/>
          <w:left w:val="single" w:sz="4" w:space="4" w:color="000000"/>
          <w:bottom w:val="single" w:sz="4" w:space="1" w:color="000000"/>
          <w:right w:val="single" w:sz="4" w:space="4" w:color="000000"/>
          <w:between w:val="nil"/>
        </w:pBdr>
        <w:spacing w:before="120"/>
        <w:rPr>
          <w:color w:val="000000"/>
          <w:sz w:val="20"/>
          <w:szCs w:val="20"/>
        </w:rPr>
      </w:pPr>
      <w:r>
        <w:rPr>
          <w:sz w:val="20"/>
          <w:szCs w:val="20"/>
        </w:rPr>
        <w:t>Mediante reuniones con las directivas, quienes a su vez cuentan con las e</w:t>
      </w:r>
      <w:r w:rsidR="00065991">
        <w:rPr>
          <w:sz w:val="20"/>
          <w:szCs w:val="20"/>
        </w:rPr>
        <w:t xml:space="preserve">ntrevistas y encuestas </w:t>
      </w:r>
      <w:r>
        <w:rPr>
          <w:sz w:val="20"/>
          <w:szCs w:val="20"/>
        </w:rPr>
        <w:t>de los estudiantes que se han formado.</w:t>
      </w:r>
    </w:p>
    <w:p w:rsidR="00E6212B" w:rsidRDefault="00065991">
      <w:pPr>
        <w:pStyle w:val="Ttulo3"/>
      </w:pPr>
      <w:r>
        <w:t>POBLACIÓN OBJETIVO</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¿Quién se beneficiará directamente del proyecto? Indica los grupos que se beneficiarán (como escuelas, hospitales, centros de formación profesional, cooperativas o poblaciones).</w:t>
      </w:r>
    </w:p>
    <w:p w:rsidR="00A05FD2" w:rsidRDefault="00380DBC" w:rsidP="00A05FD2">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 xml:space="preserve">Se espera formar 180 mujeres en las áreas de </w:t>
      </w:r>
      <w:r w:rsidR="00A05FD2">
        <w:rPr>
          <w:sz w:val="20"/>
          <w:szCs w:val="20"/>
        </w:rPr>
        <w:t>“</w:t>
      </w:r>
      <w:r>
        <w:rPr>
          <w:sz w:val="20"/>
          <w:szCs w:val="20"/>
        </w:rPr>
        <w:t>cuidado de la primera infancia</w:t>
      </w:r>
      <w:r w:rsidR="00A05FD2">
        <w:rPr>
          <w:sz w:val="20"/>
          <w:szCs w:val="20"/>
        </w:rPr>
        <w:t xml:space="preserve">” </w:t>
      </w:r>
      <w:r>
        <w:rPr>
          <w:sz w:val="20"/>
          <w:szCs w:val="20"/>
        </w:rPr>
        <w:t xml:space="preserve">y </w:t>
      </w:r>
      <w:r w:rsidR="00A05FD2">
        <w:rPr>
          <w:sz w:val="20"/>
          <w:szCs w:val="20"/>
        </w:rPr>
        <w:t>“</w:t>
      </w:r>
      <w:r>
        <w:rPr>
          <w:sz w:val="20"/>
          <w:szCs w:val="20"/>
        </w:rPr>
        <w:t>cuidado del adulto mayor</w:t>
      </w:r>
      <w:r w:rsidR="00A05FD2">
        <w:rPr>
          <w:sz w:val="20"/>
          <w:szCs w:val="20"/>
        </w:rPr>
        <w:t>”, que, como p</w:t>
      </w:r>
      <w:r w:rsidR="00065991">
        <w:rPr>
          <w:sz w:val="20"/>
          <w:szCs w:val="20"/>
        </w:rPr>
        <w:t>ersonas naturales</w:t>
      </w:r>
      <w:r w:rsidR="00A05FD2">
        <w:rPr>
          <w:sz w:val="20"/>
          <w:szCs w:val="20"/>
        </w:rPr>
        <w:t>,</w:t>
      </w:r>
      <w:r w:rsidR="00065991">
        <w:rPr>
          <w:sz w:val="20"/>
          <w:szCs w:val="20"/>
        </w:rPr>
        <w:t xml:space="preserve"> </w:t>
      </w:r>
      <w:r w:rsidR="00A05FD2">
        <w:rPr>
          <w:sz w:val="20"/>
          <w:szCs w:val="20"/>
        </w:rPr>
        <w:t>mejoraran su calidad de vida, y la de sus familias, impactando a 540 personas, como miembros de sus familias.</w:t>
      </w:r>
    </w:p>
    <w:p w:rsidR="00E6212B" w:rsidRDefault="00A05FD2">
      <w:pPr>
        <w:widowControl w:val="0"/>
        <w:pBdr>
          <w:top w:val="single" w:sz="4" w:space="1" w:color="000000"/>
          <w:left w:val="single" w:sz="4" w:space="4" w:color="000000"/>
          <w:bottom w:val="single" w:sz="4" w:space="1" w:color="000000"/>
          <w:right w:val="single" w:sz="4" w:space="4" w:color="000000"/>
          <w:between w:val="nil"/>
        </w:pBdr>
        <w:spacing w:before="120"/>
        <w:rPr>
          <w:color w:val="000000"/>
          <w:sz w:val="20"/>
          <w:szCs w:val="20"/>
        </w:rPr>
      </w:pPr>
      <w:r>
        <w:rPr>
          <w:sz w:val="20"/>
          <w:szCs w:val="20"/>
        </w:rPr>
        <w:t xml:space="preserve">Con su formación podrán trabajar en hospitales, hogares de adulto mayor, instituciones de salud en general y en forma particular, con familias en servicio domiciliarios. </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Describe el proceso utilizado para identificar a los beneficiarios.</w:t>
      </w:r>
    </w:p>
    <w:p w:rsidR="00352E67" w:rsidRDefault="00352E67" w:rsidP="00352E67">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En la reunión con las directivas de la Asociación, identificamos la gestión que han adelantado durante su funcionamiento, trabajando con las redes de apoyo en los diferentes sectores del departamento, tales como las juntas de acción comunal y su “componente de mesas de cuidado”, los líderes religiosos y los rectores de las instituciones educativas, entre otros.</w:t>
      </w:r>
    </w:p>
    <w:p w:rsidR="00352E67" w:rsidRDefault="00352E67" w:rsidP="00352E67">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 xml:space="preserve">Se cuenta con la evidencia de las reuniones llevadas a cabo </w:t>
      </w:r>
      <w:r w:rsidR="00DD1023">
        <w:rPr>
          <w:sz w:val="20"/>
          <w:szCs w:val="20"/>
        </w:rPr>
        <w:t>con las comunidades referidas en el párrafo anterior.</w:t>
      </w:r>
    </w:p>
    <w:p w:rsidR="00E6212B" w:rsidRDefault="00065991">
      <w:pPr>
        <w:pStyle w:val="Ttulo3"/>
      </w:pPr>
      <w:r>
        <w:t>FORTALEZAS, NECESIDADES, PRIORIDADES DE LA COMUNIDAD Y DISEÑO DEL PROYECTO</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Describe lo que los miembros de la comunidad dijeron que les importaba durante la evaluación.</w:t>
      </w:r>
    </w:p>
    <w:p w:rsidR="002F47CA" w:rsidRDefault="00DD1023" w:rsidP="00DD1023">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 xml:space="preserve">Para las comunidades beneficiadas, es importante contar con formación certificada que evidencie su capacidad para desempeñar la labor encomendada.  Para el caso de la formación de cuidadores, se requiere un seguimiento que les apoye a mejorar sus habilidades y/o destrezas, ya que el cuidado de los segmentos de edad que cubren, requieren un cuidado compasivo y delicado, por las edades que abarca cada una de las etapas. </w:t>
      </w:r>
    </w:p>
    <w:p w:rsidR="00E6212B" w:rsidRDefault="00DD1023" w:rsidP="00DD1023">
      <w:pPr>
        <w:widowControl w:val="0"/>
        <w:pBdr>
          <w:top w:val="single" w:sz="4" w:space="1" w:color="000000"/>
          <w:left w:val="single" w:sz="4" w:space="4" w:color="000000"/>
          <w:bottom w:val="single" w:sz="4" w:space="1" w:color="000000"/>
          <w:right w:val="single" w:sz="4" w:space="4" w:color="000000"/>
          <w:between w:val="nil"/>
        </w:pBdr>
        <w:spacing w:before="120"/>
        <w:jc w:val="both"/>
        <w:rPr>
          <w:color w:val="000000"/>
          <w:sz w:val="20"/>
          <w:szCs w:val="20"/>
        </w:rPr>
      </w:pPr>
      <w:r>
        <w:rPr>
          <w:sz w:val="20"/>
          <w:szCs w:val="20"/>
        </w:rPr>
        <w:t xml:space="preserve">Gracias a la labor de la Asociación, reciben formación de calidad y sin costo, tienen </w:t>
      </w:r>
      <w:r w:rsidR="00065991">
        <w:rPr>
          <w:sz w:val="20"/>
          <w:szCs w:val="20"/>
        </w:rPr>
        <w:t>posibilidades de encontrar un empleo formal como cuidadores</w:t>
      </w:r>
      <w:r>
        <w:rPr>
          <w:sz w:val="20"/>
          <w:szCs w:val="20"/>
        </w:rPr>
        <w:t xml:space="preserve"> y la mejora de la calidad de vida propia y de sus familias.</w:t>
      </w:r>
      <w:r w:rsidR="00065991">
        <w:rPr>
          <w:sz w:val="20"/>
          <w:szCs w:val="20"/>
        </w:rPr>
        <w:t xml:space="preserve"> </w:t>
      </w:r>
    </w:p>
    <w:p w:rsidR="00CD4728" w:rsidRDefault="00CD4728">
      <w:pPr>
        <w:widowControl w:val="0"/>
        <w:pBdr>
          <w:top w:val="nil"/>
          <w:left w:val="nil"/>
          <w:bottom w:val="nil"/>
          <w:right w:val="nil"/>
          <w:between w:val="nil"/>
        </w:pBdr>
        <w:spacing w:before="120"/>
        <w:rPr>
          <w:color w:val="000000"/>
          <w:sz w:val="20"/>
          <w:szCs w:val="20"/>
        </w:rPr>
      </w:pPr>
    </w:p>
    <w:p w:rsidR="00CD4728" w:rsidRDefault="00CD4728">
      <w:pPr>
        <w:widowControl w:val="0"/>
        <w:pBdr>
          <w:top w:val="nil"/>
          <w:left w:val="nil"/>
          <w:bottom w:val="nil"/>
          <w:right w:val="nil"/>
          <w:between w:val="nil"/>
        </w:pBdr>
        <w:spacing w:before="120"/>
        <w:rPr>
          <w:color w:val="000000"/>
          <w:sz w:val="20"/>
          <w:szCs w:val="20"/>
        </w:rPr>
      </w:pP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lastRenderedPageBreak/>
        <w:t>Describe las fortalezas y los recursos de la comunidad.</w:t>
      </w:r>
    </w:p>
    <w:p w:rsidR="00DD1023" w:rsidRDefault="00DD1023" w:rsidP="00F26775">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 xml:space="preserve">Durante 40 años de trabajo con estas comunidades, la Asociación ha desarrollado convenios con otras entidades que les permite incrementar el número de estudiantes, pasando de formar </w:t>
      </w:r>
      <w:r w:rsidR="00CD4728">
        <w:rPr>
          <w:sz w:val="20"/>
          <w:szCs w:val="20"/>
        </w:rPr>
        <w:t xml:space="preserve">25 en un año a 275 para el año 2024.  En el año 2025, se graduarán 360 estudiantes. </w:t>
      </w:r>
    </w:p>
    <w:p w:rsidR="00CD4728" w:rsidRDefault="00CD4728" w:rsidP="00F26775">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 xml:space="preserve">La tecnología se ha involucrado en la formación, gracias al apoyo de instituciones universitarias, en donde pueden interactuar con las tendencias en el cuidado y la salud. </w:t>
      </w:r>
    </w:p>
    <w:p w:rsidR="00CD4728" w:rsidRDefault="00CD4728" w:rsidP="00F26775">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Y se incluirá formación en temas relacionados con Rotary, para fortalecer su compromiso solidario con sus comunidades, creando capacidad de “Formador de Formadores”.</w:t>
      </w:r>
    </w:p>
    <w:p w:rsidR="00E6212B" w:rsidRDefault="00CD4728" w:rsidP="00F26775">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 xml:space="preserve">La asociación hace parte de la Red </w:t>
      </w:r>
      <w:r w:rsidR="00DF50F5">
        <w:rPr>
          <w:sz w:val="20"/>
          <w:szCs w:val="20"/>
        </w:rPr>
        <w:t>Compasiva</w:t>
      </w:r>
      <w:r>
        <w:rPr>
          <w:sz w:val="20"/>
          <w:szCs w:val="20"/>
        </w:rPr>
        <w:t xml:space="preserve">, creada por la Universidad Pontificia Bolivariana, UPB.  A través de ella, se conectan con </w:t>
      </w:r>
      <w:r w:rsidR="00DF50F5">
        <w:rPr>
          <w:sz w:val="20"/>
          <w:szCs w:val="20"/>
        </w:rPr>
        <w:t>el ecosistema del cuidado del Municipio de Medellín y del Departamento de Antioquia</w:t>
      </w:r>
      <w:r w:rsidR="00E9189E">
        <w:rPr>
          <w:sz w:val="20"/>
          <w:szCs w:val="20"/>
        </w:rPr>
        <w:t xml:space="preserve">. </w:t>
      </w:r>
    </w:p>
    <w:p w:rsidR="00E9189E" w:rsidRDefault="00E9189E" w:rsidP="00F26775">
      <w:pPr>
        <w:widowControl w:val="0"/>
        <w:pBdr>
          <w:top w:val="single" w:sz="4" w:space="1" w:color="000000"/>
          <w:left w:val="single" w:sz="4" w:space="4" w:color="000000"/>
          <w:bottom w:val="single" w:sz="4" w:space="1" w:color="000000"/>
          <w:right w:val="single" w:sz="4" w:space="4" w:color="000000"/>
          <w:between w:val="nil"/>
        </w:pBdr>
        <w:spacing w:before="120"/>
        <w:jc w:val="both"/>
        <w:rPr>
          <w:color w:val="000000"/>
          <w:sz w:val="20"/>
          <w:szCs w:val="20"/>
        </w:rPr>
      </w:pPr>
      <w:r>
        <w:rPr>
          <w:sz w:val="20"/>
          <w:szCs w:val="20"/>
        </w:rPr>
        <w:t>La red de capacitadores está conformada por profesionales altamente calificados en áreas de la salud.</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Describe los desafíos y las deficiencias en los comportamientos, habilidades y conocimientos de la comunidad.</w:t>
      </w:r>
    </w:p>
    <w:p w:rsidR="00E6212B" w:rsidRDefault="00F26775" w:rsidP="00F26775">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 xml:space="preserve">Ante la necesidad de tener formación para el trabajo, la persona que aplica desconoce </w:t>
      </w:r>
      <w:r w:rsidR="00065991">
        <w:rPr>
          <w:sz w:val="20"/>
          <w:szCs w:val="20"/>
        </w:rPr>
        <w:t>el potencial del cuidado como oportunidad laboral</w:t>
      </w:r>
      <w:r>
        <w:rPr>
          <w:sz w:val="20"/>
          <w:szCs w:val="20"/>
        </w:rPr>
        <w:t>.  Esto genera procesos de estudio profundo en los primeros módulos, para identificar las aspirantes que no cumplen con las condiciones personales requeridas, entre ellas, tener v</w:t>
      </w:r>
      <w:r w:rsidR="00065991">
        <w:rPr>
          <w:sz w:val="20"/>
          <w:szCs w:val="20"/>
        </w:rPr>
        <w:t>ocación de trabajo como cuidadoras</w:t>
      </w:r>
      <w:r>
        <w:rPr>
          <w:sz w:val="20"/>
          <w:szCs w:val="20"/>
        </w:rPr>
        <w:t xml:space="preserve">. </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¿Qué problemas abordará el proyecto y cómo aborda actualmente la comunidad dichos problemas?</w:t>
      </w:r>
    </w:p>
    <w:p w:rsidR="00F26775" w:rsidRDefault="00F26775">
      <w:pPr>
        <w:widowControl w:val="0"/>
        <w:pBdr>
          <w:top w:val="single" w:sz="4" w:space="1" w:color="000000"/>
          <w:left w:val="single" w:sz="4" w:space="4" w:color="000000"/>
          <w:bottom w:val="single" w:sz="4" w:space="1" w:color="000000"/>
          <w:right w:val="single" w:sz="4" w:space="4" w:color="000000"/>
          <w:between w:val="nil"/>
        </w:pBdr>
        <w:spacing w:before="120"/>
        <w:rPr>
          <w:sz w:val="20"/>
          <w:szCs w:val="20"/>
        </w:rPr>
      </w:pPr>
      <w:r>
        <w:rPr>
          <w:sz w:val="20"/>
          <w:szCs w:val="20"/>
        </w:rPr>
        <w:t xml:space="preserve">Nuestro club </w:t>
      </w:r>
      <w:r w:rsidR="00F755A2">
        <w:rPr>
          <w:sz w:val="20"/>
          <w:szCs w:val="20"/>
        </w:rPr>
        <w:t xml:space="preserve">formará 180 cuidadoras adicionales a las que ya forma la Asociación, para incrementar el impacto en los aspectos socioeconómicos de las comunidades con estrato 1, 2 y 3. </w:t>
      </w:r>
    </w:p>
    <w:p w:rsidR="00F755A2" w:rsidRDefault="00F755A2">
      <w:pPr>
        <w:widowControl w:val="0"/>
        <w:pBdr>
          <w:top w:val="single" w:sz="4" w:space="1" w:color="000000"/>
          <w:left w:val="single" w:sz="4" w:space="4" w:color="000000"/>
          <w:bottom w:val="single" w:sz="4" w:space="1" w:color="000000"/>
          <w:right w:val="single" w:sz="4" w:space="4" w:color="000000"/>
          <w:between w:val="nil"/>
        </w:pBdr>
        <w:spacing w:before="120"/>
        <w:rPr>
          <w:sz w:val="20"/>
          <w:szCs w:val="20"/>
        </w:rPr>
      </w:pPr>
      <w:r>
        <w:rPr>
          <w:sz w:val="20"/>
          <w:szCs w:val="20"/>
        </w:rPr>
        <w:t xml:space="preserve">Hoy se forman cuidadoras gracias a los convenios que la Asociación tiene con instituciones aliadas y que aportan a los costos de la formación, pero que deben ser revisadas y ajustadas periódicamente. </w:t>
      </w:r>
    </w:p>
    <w:p w:rsidR="00F26775" w:rsidRDefault="00F755A2">
      <w:pPr>
        <w:widowControl w:val="0"/>
        <w:pBdr>
          <w:top w:val="single" w:sz="4" w:space="1" w:color="000000"/>
          <w:left w:val="single" w:sz="4" w:space="4" w:color="000000"/>
          <w:bottom w:val="single" w:sz="4" w:space="1" w:color="000000"/>
          <w:right w:val="single" w:sz="4" w:space="4" w:color="000000"/>
          <w:between w:val="nil"/>
        </w:pBdr>
        <w:spacing w:before="120"/>
        <w:rPr>
          <w:sz w:val="20"/>
          <w:szCs w:val="20"/>
        </w:rPr>
      </w:pPr>
      <w:r>
        <w:rPr>
          <w:sz w:val="20"/>
          <w:szCs w:val="20"/>
        </w:rPr>
        <w:t>Con COMFAMA, Caja de Compensación Familiar y el Instituto Montaigne, se tiene la certificación que les acredita como CUIDADORAS</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Proporciona detalles específicos sobre el diseño del proyecto y cómo resolverá estos problemas.</w:t>
      </w:r>
    </w:p>
    <w:p w:rsidR="00E6212B" w:rsidRDefault="00F755A2" w:rsidP="00F755A2">
      <w:pPr>
        <w:widowControl w:val="0"/>
        <w:pBdr>
          <w:top w:val="single" w:sz="4" w:space="1" w:color="000000"/>
          <w:left w:val="single" w:sz="4" w:space="4" w:color="000000"/>
          <w:bottom w:val="single" w:sz="4" w:space="1" w:color="000000"/>
          <w:right w:val="single" w:sz="4" w:space="4" w:color="000000"/>
          <w:between w:val="nil"/>
        </w:pBdr>
        <w:spacing w:before="120"/>
        <w:jc w:val="both"/>
        <w:rPr>
          <w:color w:val="000000"/>
          <w:sz w:val="20"/>
          <w:szCs w:val="20"/>
        </w:rPr>
      </w:pPr>
      <w:r>
        <w:rPr>
          <w:sz w:val="20"/>
          <w:szCs w:val="20"/>
        </w:rPr>
        <w:t>Desarrollar el</w:t>
      </w:r>
      <w:r w:rsidR="00065991">
        <w:rPr>
          <w:sz w:val="20"/>
          <w:szCs w:val="20"/>
        </w:rPr>
        <w:t xml:space="preserve"> programa de formación para cuidadores, tanto en competencias técnic</w:t>
      </w:r>
      <w:r>
        <w:rPr>
          <w:sz w:val="20"/>
          <w:szCs w:val="20"/>
        </w:rPr>
        <w:t xml:space="preserve">as como habilidades blandas, fortaleciendo </w:t>
      </w:r>
      <w:r w:rsidR="00065991">
        <w:rPr>
          <w:sz w:val="20"/>
          <w:szCs w:val="20"/>
        </w:rPr>
        <w:t>su perfil y acercarlos a la empleabilidad como cuidadores, a la vez de abrir posibilidades para continuar sus estudios en programas de educación superior</w:t>
      </w:r>
      <w:r>
        <w:rPr>
          <w:sz w:val="20"/>
          <w:szCs w:val="20"/>
        </w:rPr>
        <w:t>.</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Describe el plan a largo plazo para el proyecto (como la supervisión, las responsabilidades financieras y el cambio de comportamiento esperado) después de que finalice la participación de Rotary.</w:t>
      </w:r>
    </w:p>
    <w:p w:rsidR="004F1EA7" w:rsidRDefault="00065991" w:rsidP="00040E40">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 xml:space="preserve">Este programa </w:t>
      </w:r>
      <w:r w:rsidR="004F1EA7">
        <w:rPr>
          <w:sz w:val="20"/>
          <w:szCs w:val="20"/>
        </w:rPr>
        <w:t>lo ha liderado la Asociación por m</w:t>
      </w:r>
      <w:r>
        <w:rPr>
          <w:sz w:val="20"/>
          <w:szCs w:val="20"/>
        </w:rPr>
        <w:t xml:space="preserve">ás de 40 años, </w:t>
      </w:r>
      <w:r w:rsidR="00CC4478">
        <w:rPr>
          <w:sz w:val="20"/>
          <w:szCs w:val="20"/>
        </w:rPr>
        <w:t>y se espera f</w:t>
      </w:r>
      <w:r w:rsidR="004F1EA7">
        <w:rPr>
          <w:sz w:val="20"/>
          <w:szCs w:val="20"/>
        </w:rPr>
        <w:t>ortalecerlo y continuarl</w:t>
      </w:r>
      <w:r w:rsidR="00CC4478">
        <w:rPr>
          <w:sz w:val="20"/>
          <w:szCs w:val="20"/>
        </w:rPr>
        <w:t>o en el largo plazo</w:t>
      </w:r>
      <w:r w:rsidR="004F1EA7">
        <w:rPr>
          <w:sz w:val="20"/>
          <w:szCs w:val="20"/>
        </w:rPr>
        <w:t xml:space="preserve">. </w:t>
      </w:r>
    </w:p>
    <w:p w:rsidR="00E6212B" w:rsidRDefault="004F1EA7" w:rsidP="00040E40">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U</w:t>
      </w:r>
      <w:r w:rsidR="00065991">
        <w:rPr>
          <w:sz w:val="20"/>
          <w:szCs w:val="20"/>
        </w:rPr>
        <w:t xml:space="preserve">na vez finalizada la participación de Rotary, </w:t>
      </w:r>
      <w:r>
        <w:rPr>
          <w:sz w:val="20"/>
          <w:szCs w:val="20"/>
        </w:rPr>
        <w:t xml:space="preserve">el programa </w:t>
      </w:r>
      <w:r w:rsidR="00065991">
        <w:rPr>
          <w:sz w:val="20"/>
          <w:szCs w:val="20"/>
        </w:rPr>
        <w:t xml:space="preserve">continuará </w:t>
      </w:r>
      <w:r>
        <w:rPr>
          <w:sz w:val="20"/>
          <w:szCs w:val="20"/>
        </w:rPr>
        <w:t>con la formación de más cuidadores y apoyando</w:t>
      </w:r>
      <w:r w:rsidR="00065991">
        <w:rPr>
          <w:sz w:val="20"/>
          <w:szCs w:val="20"/>
        </w:rPr>
        <w:t xml:space="preserve"> el seguimiento a </w:t>
      </w:r>
      <w:r>
        <w:rPr>
          <w:sz w:val="20"/>
          <w:szCs w:val="20"/>
        </w:rPr>
        <w:t>las graduadas</w:t>
      </w:r>
      <w:r w:rsidR="00065991">
        <w:rPr>
          <w:sz w:val="20"/>
          <w:szCs w:val="20"/>
        </w:rPr>
        <w:t xml:space="preserve"> frente a su proceso de empleabilidad y estudios superiores</w:t>
      </w:r>
      <w:r>
        <w:rPr>
          <w:sz w:val="20"/>
          <w:szCs w:val="20"/>
        </w:rPr>
        <w:t xml:space="preserve">.  Igualmente seguirán con el apoyo de los aliados estratégicos tanto en la ciudad de Medellín como en los Municipios que conforman el Departamento de Antioquia. </w:t>
      </w:r>
    </w:p>
    <w:p w:rsidR="004F1EA7" w:rsidRDefault="004F1EA7" w:rsidP="00040E40">
      <w:pPr>
        <w:widowControl w:val="0"/>
        <w:pBdr>
          <w:top w:val="single" w:sz="4" w:space="1" w:color="000000"/>
          <w:left w:val="single" w:sz="4" w:space="4" w:color="000000"/>
          <w:bottom w:val="single" w:sz="4" w:space="1" w:color="000000"/>
          <w:right w:val="single" w:sz="4" w:space="4" w:color="000000"/>
          <w:between w:val="nil"/>
        </w:pBdr>
        <w:spacing w:before="120"/>
        <w:jc w:val="both"/>
        <w:rPr>
          <w:sz w:val="20"/>
          <w:szCs w:val="20"/>
        </w:rPr>
      </w:pPr>
      <w:r>
        <w:rPr>
          <w:sz w:val="20"/>
          <w:szCs w:val="20"/>
        </w:rPr>
        <w:t>Durante la ejecución y después de finalizada nuestra participación, revisaremos los indicadores de empleabilidad y mejora continua.</w:t>
      </w:r>
    </w:p>
    <w:p w:rsidR="004F1EA7" w:rsidRDefault="004F1EA7" w:rsidP="00040E40">
      <w:pPr>
        <w:widowControl w:val="0"/>
        <w:pBdr>
          <w:top w:val="single" w:sz="4" w:space="1" w:color="000000"/>
          <w:left w:val="single" w:sz="4" w:space="4" w:color="000000"/>
          <w:bottom w:val="single" w:sz="4" w:space="1" w:color="000000"/>
          <w:right w:val="single" w:sz="4" w:space="4" w:color="000000"/>
          <w:between w:val="nil"/>
        </w:pBdr>
        <w:spacing w:before="120"/>
        <w:jc w:val="both"/>
        <w:rPr>
          <w:color w:val="000000"/>
          <w:sz w:val="20"/>
          <w:szCs w:val="20"/>
        </w:rPr>
      </w:pPr>
      <w:r>
        <w:rPr>
          <w:sz w:val="20"/>
          <w:szCs w:val="20"/>
        </w:rPr>
        <w:t>La responsabilidad financiera durante la implementación es responsabilidad del club rotario Medellín Nutibara.</w:t>
      </w:r>
      <w:r w:rsidR="00040E40">
        <w:rPr>
          <w:sz w:val="20"/>
          <w:szCs w:val="20"/>
        </w:rPr>
        <w:t xml:space="preserve">  Una vez finalice, la Asociación continuará aportando los gastos de operación del programa de formación, tales como salarios y la seguridad social, obligatoria en Colombia. </w:t>
      </w:r>
      <w:bookmarkStart w:id="2" w:name="_GoBack"/>
      <w:bookmarkEnd w:id="2"/>
    </w:p>
    <w:p w:rsidR="00E6212B" w:rsidRDefault="00065991">
      <w:pPr>
        <w:pStyle w:val="Ttulo3"/>
      </w:pPr>
      <w:r>
        <w:t>EVALUACIÓN MEDIOAMBIENTAL (PARA TODOS LOS PROYECTOS EN EL CAMPO DEL AGUA, EL SANEAMIENTO Y LA HIGIENE)</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 xml:space="preserve">¿Cuáles son actualmente las mayores amenazas medioambientales para el suelo, el aire, los recursos </w:t>
      </w:r>
      <w:r>
        <w:rPr>
          <w:color w:val="000000"/>
          <w:sz w:val="20"/>
          <w:szCs w:val="20"/>
        </w:rPr>
        <w:lastRenderedPageBreak/>
        <w:t>hídricos y el ecosistema locales?</w:t>
      </w:r>
    </w:p>
    <w:p w:rsidR="00E6212B" w:rsidRDefault="00065991">
      <w:pPr>
        <w:widowControl w:val="0"/>
        <w:pBdr>
          <w:top w:val="single" w:sz="4" w:space="1" w:color="000000"/>
          <w:left w:val="single" w:sz="4" w:space="4" w:color="000000"/>
          <w:bottom w:val="single" w:sz="4" w:space="1" w:color="000000"/>
          <w:right w:val="single" w:sz="4" w:space="4" w:color="000000"/>
          <w:between w:val="nil"/>
        </w:pBdr>
        <w:spacing w:before="120"/>
        <w:rPr>
          <w:color w:val="000000"/>
          <w:sz w:val="20"/>
          <w:szCs w:val="20"/>
        </w:rPr>
      </w:pPr>
      <w:r>
        <w:rPr>
          <w:sz w:val="20"/>
          <w:szCs w:val="20"/>
        </w:rPr>
        <w:t>NA</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Indica las prácticas culturales relevantes para el proyecto (como, por ejemplo, técnicas agrícolas o tradiciones).</w:t>
      </w:r>
    </w:p>
    <w:p w:rsidR="00E6212B" w:rsidRDefault="00065991">
      <w:pPr>
        <w:widowControl w:val="0"/>
        <w:pBdr>
          <w:top w:val="single" w:sz="4" w:space="1" w:color="000000"/>
          <w:left w:val="single" w:sz="4" w:space="4" w:color="000000"/>
          <w:bottom w:val="single" w:sz="4" w:space="1" w:color="000000"/>
          <w:right w:val="single" w:sz="4" w:space="4" w:color="000000"/>
          <w:between w:val="nil"/>
        </w:pBdr>
        <w:spacing w:before="120"/>
        <w:rPr>
          <w:color w:val="000000"/>
          <w:sz w:val="20"/>
          <w:szCs w:val="20"/>
        </w:rPr>
      </w:pPr>
      <w:r>
        <w:rPr>
          <w:sz w:val="20"/>
          <w:szCs w:val="20"/>
        </w:rPr>
        <w:t>NA</w:t>
      </w:r>
    </w:p>
    <w:p w:rsidR="00E6212B" w:rsidRDefault="00065991">
      <w:pPr>
        <w:widowControl w:val="0"/>
        <w:pBdr>
          <w:top w:val="nil"/>
          <w:left w:val="nil"/>
          <w:bottom w:val="nil"/>
          <w:right w:val="nil"/>
          <w:between w:val="nil"/>
        </w:pBdr>
        <w:spacing w:before="120"/>
        <w:rPr>
          <w:color w:val="000000"/>
          <w:sz w:val="20"/>
          <w:szCs w:val="20"/>
        </w:rPr>
      </w:pPr>
      <w:r>
        <w:rPr>
          <w:color w:val="000000"/>
          <w:sz w:val="20"/>
          <w:szCs w:val="20"/>
        </w:rPr>
        <w:t>¿Qué cambios ambientales positivos y negativos esperas que resulten del proyecto?</w:t>
      </w:r>
    </w:p>
    <w:p w:rsidR="00E6212B" w:rsidRDefault="00065991">
      <w:pPr>
        <w:widowControl w:val="0"/>
        <w:pBdr>
          <w:top w:val="single" w:sz="4" w:space="1" w:color="000000"/>
          <w:left w:val="single" w:sz="4" w:space="4" w:color="000000"/>
          <w:bottom w:val="single" w:sz="4" w:space="1" w:color="000000"/>
          <w:right w:val="single" w:sz="4" w:space="4" w:color="000000"/>
          <w:between w:val="nil"/>
        </w:pBdr>
        <w:spacing w:before="120"/>
        <w:rPr>
          <w:color w:val="000000"/>
          <w:sz w:val="20"/>
          <w:szCs w:val="20"/>
        </w:rPr>
      </w:pPr>
      <w:r>
        <w:rPr>
          <w:color w:val="000000"/>
          <w:sz w:val="20"/>
          <w:szCs w:val="20"/>
        </w:rPr>
        <w:t xml:space="preserve"> </w:t>
      </w:r>
      <w:r>
        <w:rPr>
          <w:sz w:val="20"/>
          <w:szCs w:val="20"/>
        </w:rPr>
        <w:t>NA</w:t>
      </w:r>
    </w:p>
    <w:sectPr w:rsidR="00E6212B">
      <w:footerReference w:type="default" r:id="rId9"/>
      <w:pgSz w:w="12240" w:h="15840"/>
      <w:pgMar w:top="1037" w:right="1440" w:bottom="1440" w:left="1440" w:header="103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EC1" w:rsidRDefault="00E31EC1">
      <w:r>
        <w:separator/>
      </w:r>
    </w:p>
  </w:endnote>
  <w:endnote w:type="continuationSeparator" w:id="0">
    <w:p w:rsidR="00E31EC1" w:rsidRDefault="00E3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78" w:rsidRDefault="00CC4478">
    <w:pPr>
      <w:pBdr>
        <w:top w:val="nil"/>
        <w:left w:val="nil"/>
        <w:bottom w:val="nil"/>
        <w:right w:val="nil"/>
        <w:between w:val="nil"/>
      </w:pBdr>
      <w:tabs>
        <w:tab w:val="center" w:pos="4320"/>
        <w:tab w:val="right" w:pos="8640"/>
        <w:tab w:val="right" w:pos="9990"/>
      </w:tabs>
      <w:rPr>
        <w:rFonts w:ascii="Arial Narrow" w:eastAsia="Arial Narrow" w:hAnsi="Arial Narrow" w:cs="Arial Narrow"/>
        <w:color w:val="0251A3"/>
        <w:sz w:val="18"/>
        <w:szCs w:val="18"/>
      </w:rPr>
    </w:pPr>
    <w:r>
      <w:rPr>
        <w:rFonts w:ascii="Arial Narrow" w:eastAsia="Arial Narrow" w:hAnsi="Arial Narrow" w:cs="Arial Narrow"/>
        <w:color w:val="0251A3"/>
        <w:sz w:val="18"/>
        <w:szCs w:val="18"/>
      </w:rPr>
      <w:t>Resultados de la evaluación de las necesidades de la comunidad para una subvención global (octubre de 2024)</w:t>
    </w:r>
    <w:r>
      <w:rPr>
        <w:rFonts w:ascii="Arial Narrow" w:eastAsia="Arial Narrow" w:hAnsi="Arial Narrow" w:cs="Arial Narrow"/>
        <w:color w:val="0251A3"/>
        <w:sz w:val="18"/>
        <w:szCs w:val="18"/>
      </w:rPr>
      <w:tab/>
    </w:r>
    <w:r>
      <w:rPr>
        <w:rFonts w:ascii="Arial Narrow" w:eastAsia="Arial Narrow" w:hAnsi="Arial Narrow" w:cs="Arial Narrow"/>
        <w:color w:val="0251A3"/>
        <w:sz w:val="18"/>
        <w:szCs w:val="18"/>
      </w:rPr>
      <w:fldChar w:fldCharType="begin"/>
    </w:r>
    <w:r>
      <w:rPr>
        <w:rFonts w:ascii="Arial Narrow" w:eastAsia="Arial Narrow" w:hAnsi="Arial Narrow" w:cs="Arial Narrow"/>
        <w:color w:val="0251A3"/>
        <w:sz w:val="18"/>
        <w:szCs w:val="18"/>
      </w:rPr>
      <w:instrText>PAGE</w:instrText>
    </w:r>
    <w:r>
      <w:rPr>
        <w:rFonts w:ascii="Arial Narrow" w:eastAsia="Arial Narrow" w:hAnsi="Arial Narrow" w:cs="Arial Narrow"/>
        <w:color w:val="0251A3"/>
        <w:sz w:val="18"/>
        <w:szCs w:val="18"/>
      </w:rPr>
      <w:fldChar w:fldCharType="separate"/>
    </w:r>
    <w:r w:rsidR="00040E40">
      <w:rPr>
        <w:rFonts w:ascii="Arial Narrow" w:eastAsia="Arial Narrow" w:hAnsi="Arial Narrow" w:cs="Arial Narrow"/>
        <w:noProof/>
        <w:color w:val="0251A3"/>
        <w:sz w:val="18"/>
        <w:szCs w:val="18"/>
      </w:rPr>
      <w:t>3</w:t>
    </w:r>
    <w:r>
      <w:rPr>
        <w:rFonts w:ascii="Arial Narrow" w:eastAsia="Arial Narrow" w:hAnsi="Arial Narrow" w:cs="Arial Narrow"/>
        <w:color w:val="0251A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EC1" w:rsidRDefault="00E31EC1">
      <w:r>
        <w:separator/>
      </w:r>
    </w:p>
  </w:footnote>
  <w:footnote w:type="continuationSeparator" w:id="0">
    <w:p w:rsidR="00E31EC1" w:rsidRDefault="00E31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2B"/>
    <w:rsid w:val="00040E40"/>
    <w:rsid w:val="00065991"/>
    <w:rsid w:val="002606F4"/>
    <w:rsid w:val="002F47CA"/>
    <w:rsid w:val="00352E67"/>
    <w:rsid w:val="00380DBC"/>
    <w:rsid w:val="004D6ED5"/>
    <w:rsid w:val="004F1EA7"/>
    <w:rsid w:val="00A05FD2"/>
    <w:rsid w:val="00CC4478"/>
    <w:rsid w:val="00CD4728"/>
    <w:rsid w:val="00DD1023"/>
    <w:rsid w:val="00DF50F5"/>
    <w:rsid w:val="00E31EC1"/>
    <w:rsid w:val="00E6212B"/>
    <w:rsid w:val="00E9189E"/>
    <w:rsid w:val="00F26775"/>
    <w:rsid w:val="00F7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1AFA"/>
  <w15:docId w15:val="{5BAD0601-4BF7-4BC7-838F-5B7B7470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4"/>
        <w:szCs w:val="24"/>
        <w:lang w:val="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Arial Narrow" w:eastAsia="Arial Narrow" w:hAnsi="Arial Narrow" w:cs="Arial Narrow"/>
      <w:b/>
      <w:smallCaps/>
      <w:color w:val="005DAA"/>
      <w:sz w:val="44"/>
      <w:szCs w:val="44"/>
    </w:rPr>
  </w:style>
  <w:style w:type="paragraph" w:styleId="Ttulo2">
    <w:name w:val="heading 2"/>
    <w:basedOn w:val="Normal"/>
    <w:next w:val="Normal"/>
    <w:pPr>
      <w:outlineLvl w:val="1"/>
    </w:pPr>
    <w:rPr>
      <w:rFonts w:ascii="Arial Narrow" w:eastAsia="Arial Narrow" w:hAnsi="Arial Narrow" w:cs="Arial Narrow"/>
      <w:sz w:val="28"/>
      <w:szCs w:val="28"/>
    </w:rPr>
  </w:style>
  <w:style w:type="paragraph" w:styleId="Ttulo3">
    <w:name w:val="heading 3"/>
    <w:basedOn w:val="Normal"/>
    <w:next w:val="Normal"/>
    <w:pPr>
      <w:spacing w:before="240" w:after="120"/>
      <w:outlineLvl w:val="2"/>
    </w:pPr>
    <w:rPr>
      <w:rFonts w:ascii="Arial Narrow" w:eastAsia="Arial Narrow" w:hAnsi="Arial Narrow" w:cs="Arial Narrow"/>
      <w:b/>
      <w:smallCaps/>
      <w:u w:val="single"/>
    </w:rPr>
  </w:style>
  <w:style w:type="paragraph" w:styleId="Ttulo4">
    <w:name w:val="heading 4"/>
    <w:basedOn w:val="Normal"/>
    <w:next w:val="Normal"/>
    <w:pPr>
      <w:keepNext/>
      <w:spacing w:before="240" w:after="60"/>
      <w:outlineLvl w:val="3"/>
    </w:pPr>
    <w:rPr>
      <w:rFonts w:ascii="Arial Narrow" w:eastAsia="Arial Narrow" w:hAnsi="Arial Narrow" w:cs="Arial Narrow"/>
      <w:b/>
      <w:sz w:val="20"/>
      <w:szCs w:val="20"/>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2A5C35"/>
    <w:pPr>
      <w:widowControl w:val="0"/>
      <w:suppressAutoHyphens/>
      <w:autoSpaceDE w:val="0"/>
      <w:autoSpaceDN w:val="0"/>
      <w:adjustRightInd w:val="0"/>
      <w:spacing w:before="120" w:line="300" w:lineRule="atLeast"/>
      <w:textAlignment w:val="center"/>
    </w:pPr>
    <w:rPr>
      <w:color w:val="000000"/>
      <w:sz w:val="20"/>
      <w:szCs w:val="22"/>
    </w:rPr>
  </w:style>
  <w:style w:type="paragraph" w:styleId="Encabezado">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Refdenotaalpie">
    <w:name w:val="footnote reference"/>
    <w:semiHidden/>
    <w:rsid w:val="00DE6891"/>
    <w:rPr>
      <w:vertAlign w:val="superscript"/>
    </w:rPr>
  </w:style>
  <w:style w:type="paragraph" w:styleId="Piedepgina">
    <w:name w:val="footer"/>
    <w:basedOn w:val="Normal"/>
    <w:semiHidden/>
    <w:rsid w:val="00DE6891"/>
    <w:pPr>
      <w:tabs>
        <w:tab w:val="center" w:pos="4320"/>
        <w:tab w:val="right" w:pos="8640"/>
      </w:tabs>
    </w:pPr>
  </w:style>
  <w:style w:type="character" w:styleId="Nmerodepgina">
    <w:name w:val="page number"/>
    <w:basedOn w:val="Fuentedeprrafopredeter"/>
    <w:rsid w:val="00DE6891"/>
  </w:style>
  <w:style w:type="paragraph" w:customStyle="1" w:styleId="IntroParagraph">
    <w:name w:val="Intro Paragraph"/>
    <w:basedOn w:val="BodyParagraph"/>
    <w:autoRedefine/>
    <w:rsid w:val="00D07D0B"/>
    <w:pPr>
      <w:spacing w:after="360"/>
    </w:pPr>
    <w:rPr>
      <w:color w:val="auto"/>
    </w:rPr>
  </w:style>
  <w:style w:type="paragraph" w:styleId="Textodeglobo">
    <w:name w:val="Balloon Text"/>
    <w:basedOn w:val="Normal"/>
    <w:link w:val="TextodegloboCar"/>
    <w:uiPriority w:val="99"/>
    <w:semiHidden/>
    <w:unhideWhenUsed/>
    <w:rsid w:val="0041297E"/>
    <w:rPr>
      <w:rFonts w:ascii="Lucida Grande" w:hAnsi="Lucida Grande" w:cs="Lucida Grande"/>
      <w:sz w:val="18"/>
      <w:szCs w:val="18"/>
    </w:rPr>
  </w:style>
  <w:style w:type="character" w:customStyle="1" w:styleId="TextodegloboCar">
    <w:name w:val="Texto de globo Car"/>
    <w:link w:val="Textodeglobo"/>
    <w:uiPriority w:val="99"/>
    <w:semiHidden/>
    <w:rsid w:val="0041297E"/>
    <w:rPr>
      <w:rFonts w:ascii="Lucida Grande" w:hAnsi="Lucida Grande" w:cs="Lucida Grande"/>
      <w:sz w:val="18"/>
      <w:szCs w:val="18"/>
    </w:rPr>
  </w:style>
  <w:style w:type="paragraph" w:customStyle="1" w:styleId="Subhead2">
    <w:name w:val="Subhead 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u w:val="single"/>
    </w:rPr>
  </w:style>
  <w:style w:type="paragraph" w:customStyle="1" w:styleId="NumberList">
    <w:name w:val="Number List"/>
    <w:basedOn w:val="BodyParagraph"/>
    <w:qFormat/>
    <w:rsid w:val="0022325E"/>
    <w:pPr>
      <w:tabs>
        <w:tab w:val="right" w:pos="180"/>
      </w:tabs>
      <w:ind w:left="360" w:hanging="360"/>
    </w:pPr>
  </w:style>
  <w:style w:type="character" w:styleId="Hipervnculo">
    <w:name w:val="Hyperlink"/>
    <w:basedOn w:val="Fuentedeprrafopredeter"/>
    <w:uiPriority w:val="99"/>
    <w:unhideWhenUsed/>
    <w:rsid w:val="001749E1"/>
    <w:rPr>
      <w:color w:val="0563C1" w:themeColor="hyperlink"/>
      <w:u w:val="single"/>
    </w:rPr>
  </w:style>
  <w:style w:type="table" w:styleId="Tablaconcuadrcula">
    <w:name w:val="Table Grid"/>
    <w:basedOn w:val="Tablanormal"/>
    <w:uiPriority w:val="59"/>
    <w:rsid w:val="00250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250DE3"/>
    <w:rPr>
      <w:color w:val="808080"/>
    </w:rPr>
  </w:style>
  <w:style w:type="character" w:styleId="Hipervnculovisitado">
    <w:name w:val="FollowedHyperlink"/>
    <w:basedOn w:val="Fuentedeprrafopredeter"/>
    <w:uiPriority w:val="99"/>
    <w:semiHidden/>
    <w:unhideWhenUsed/>
    <w:rsid w:val="002C4D7A"/>
    <w:rPr>
      <w:color w:val="954F72" w:themeColor="followedHyperlink"/>
      <w:u w:val="single"/>
    </w:rPr>
  </w:style>
  <w:style w:type="character" w:styleId="Refdecomentario">
    <w:name w:val="annotation reference"/>
    <w:basedOn w:val="Fuentedeprrafopredeter"/>
    <w:uiPriority w:val="99"/>
    <w:semiHidden/>
    <w:unhideWhenUsed/>
    <w:rsid w:val="002104CC"/>
    <w:rPr>
      <w:sz w:val="16"/>
      <w:szCs w:val="16"/>
    </w:rPr>
  </w:style>
  <w:style w:type="paragraph" w:styleId="Textocomentario">
    <w:name w:val="annotation text"/>
    <w:basedOn w:val="Normal"/>
    <w:link w:val="TextocomentarioCar"/>
    <w:uiPriority w:val="99"/>
    <w:semiHidden/>
    <w:unhideWhenUsed/>
    <w:rsid w:val="002104CC"/>
    <w:rPr>
      <w:sz w:val="20"/>
      <w:szCs w:val="20"/>
    </w:rPr>
  </w:style>
  <w:style w:type="character" w:customStyle="1" w:styleId="TextocomentarioCar">
    <w:name w:val="Texto comentario Car"/>
    <w:basedOn w:val="Fuentedeprrafopredeter"/>
    <w:link w:val="Textocomentario"/>
    <w:uiPriority w:val="99"/>
    <w:semiHidden/>
    <w:rsid w:val="002104CC"/>
    <w:rPr>
      <w:rFonts w:ascii="Georgia" w:hAnsi="Georgia"/>
    </w:rPr>
  </w:style>
  <w:style w:type="paragraph" w:styleId="Asuntodelcomentario">
    <w:name w:val="annotation subject"/>
    <w:basedOn w:val="Textocomentario"/>
    <w:next w:val="Textocomentario"/>
    <w:link w:val="AsuntodelcomentarioCar"/>
    <w:uiPriority w:val="99"/>
    <w:semiHidden/>
    <w:unhideWhenUsed/>
    <w:rsid w:val="002104CC"/>
    <w:rPr>
      <w:b/>
      <w:bCs/>
    </w:rPr>
  </w:style>
  <w:style w:type="character" w:customStyle="1" w:styleId="AsuntodelcomentarioCar">
    <w:name w:val="Asunto del comentario Car"/>
    <w:basedOn w:val="TextocomentarioCar"/>
    <w:link w:val="Asuntodelcomentario"/>
    <w:uiPriority w:val="99"/>
    <w:semiHidden/>
    <w:rsid w:val="002104CC"/>
    <w:rPr>
      <w:rFonts w:ascii="Georgia" w:hAnsi="Georgia"/>
      <w:b/>
      <w:bCs/>
    </w:rPr>
  </w:style>
  <w:style w:type="paragraph" w:styleId="Revisin">
    <w:name w:val="Revision"/>
    <w:hidden/>
    <w:uiPriority w:val="71"/>
    <w:semiHidden/>
    <w:rsid w:val="002A5C35"/>
  </w:style>
  <w:style w:type="character" w:customStyle="1" w:styleId="UnresolvedMention">
    <w:name w:val="Unresolved Mention"/>
    <w:basedOn w:val="Fuentedeprrafopredeter"/>
    <w:uiPriority w:val="99"/>
    <w:semiHidden/>
    <w:unhideWhenUsed/>
    <w:rsid w:val="00561CD4"/>
    <w:rPr>
      <w:color w:val="605E5C"/>
      <w:shd w:val="clear" w:color="auto" w:fill="E1DFDD"/>
    </w:rPr>
  </w:style>
  <w:style w:type="paragraph" w:styleId="Subttulo">
    <w:name w:val="Subtitle"/>
    <w:basedOn w:val="Normal"/>
    <w:next w:val="Normal"/>
    <w:pPr>
      <w:keepNext/>
      <w:keepLines/>
      <w:spacing w:before="360" w:after="80"/>
    </w:pPr>
    <w:rPr>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y.rotary.org/es/document/community-assessment-tool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lpQgN4stjwpC09SGwWxX58agw==">CgMxLjAyDmguZTNmeWNxZ2JvdDZ6Mg5oLmVlMm5yaHYydGIwdDgAciExamhWSk1waXdMc2FvNEtMalNLa1hpby1nYkl4VnpGRU8=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1606</Words>
  <Characters>9157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USUARIO</cp:lastModifiedBy>
  <cp:revision>7</cp:revision>
  <dcterms:created xsi:type="dcterms:W3CDTF">2025-10-18T00:44:00Z</dcterms:created>
  <dcterms:modified xsi:type="dcterms:W3CDTF">2025-10-18T01:39:00Z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